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AFF85">
      <w:pPr>
        <w:jc w:val="center"/>
        <w:rPr>
          <w:rFonts w:hint="eastAsia" w:ascii="黑体" w:hAnsi="黑体" w:eastAsia="黑体" w:cs="黑体"/>
          <w:sz w:val="32"/>
          <w:szCs w:val="40"/>
        </w:rPr>
      </w:pPr>
      <w:r>
        <w:rPr>
          <w:rFonts w:hint="eastAsia" w:ascii="黑体" w:hAnsi="黑体" w:eastAsia="黑体" w:cs="黑体"/>
          <w:sz w:val="32"/>
          <w:szCs w:val="40"/>
        </w:rPr>
        <w:t>和禹公司大坝安全在线监控系统建设项目服务器等设备询比采购公告</w:t>
      </w:r>
    </w:p>
    <w:p w14:paraId="377FE21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eastAsia="zh-CN"/>
        </w:rPr>
      </w:pPr>
      <w:r>
        <w:rPr>
          <w:rFonts w:hint="eastAsia" w:ascii="宋体" w:hAnsi="宋体" w:eastAsia="宋体" w:cs="宋体"/>
          <w:i w:val="0"/>
          <w:iCs w:val="0"/>
          <w:caps w:val="0"/>
          <w:color w:val="333333"/>
          <w:spacing w:val="0"/>
          <w:sz w:val="27"/>
          <w:szCs w:val="27"/>
        </w:rPr>
        <w:t>根据中水东北勘测设计研究有限责任公司《公司采购管理办法》(中水东勘办(20241313号)有关规定，中水东北勘测设计研究有限责任公司科学研究院拟对“和禹公司大坝安全在线监控系统建设项目服务器等设备”进行询比采购</w:t>
      </w:r>
      <w:r>
        <w:rPr>
          <w:rFonts w:hint="eastAsia" w:ascii="宋体" w:hAnsi="宋体" w:eastAsia="宋体" w:cs="宋体"/>
          <w:i w:val="0"/>
          <w:iCs w:val="0"/>
          <w:caps w:val="0"/>
          <w:color w:val="333333"/>
          <w:spacing w:val="0"/>
          <w:sz w:val="27"/>
          <w:szCs w:val="27"/>
          <w:lang w:eastAsia="zh-CN"/>
        </w:rPr>
        <w:t>。</w:t>
      </w:r>
    </w:p>
    <w:p w14:paraId="4BD68858">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采购内容</w:t>
      </w:r>
    </w:p>
    <w:p w14:paraId="79229521">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default"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rPr>
        <w:t>和禹公司大坝安全在线监控系统建设项目服务器等设备</w:t>
      </w:r>
      <w:r>
        <w:rPr>
          <w:rFonts w:hint="eastAsia" w:ascii="宋体" w:hAnsi="宋体" w:eastAsia="宋体" w:cs="宋体"/>
          <w:i w:val="0"/>
          <w:iCs w:val="0"/>
          <w:caps w:val="0"/>
          <w:color w:val="333333"/>
          <w:spacing w:val="0"/>
          <w:sz w:val="27"/>
          <w:szCs w:val="27"/>
          <w:lang w:val="en-US" w:eastAsia="zh-CN"/>
        </w:rPr>
        <w:t>采购，具体详见报价清单。</w:t>
      </w:r>
    </w:p>
    <w:p w14:paraId="19CC471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工期：签订合同后15天内完成。</w:t>
      </w:r>
    </w:p>
    <w:p w14:paraId="1BC91A7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注：本合同为总价承包合同，报价为含税报价。</w:t>
      </w:r>
    </w:p>
    <w:p w14:paraId="72D13BBF">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供应商资质要求</w:t>
      </w:r>
    </w:p>
    <w:p w14:paraId="30F4DC9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 xml:space="preserve"> (1)中华人民共和国境内注册的独立法人，具有独立承担民事责任能力，具有独立订立合同的权利，具有相关资质。</w:t>
      </w:r>
    </w:p>
    <w:p w14:paraId="766C3F9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 xml:space="preserve"> (2)“信用中国”或“中国执行信息公开网”等平台无失信记录，无重大质量投诉或行政处罚。</w:t>
      </w:r>
    </w:p>
    <w:p w14:paraId="43FDA912">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报名</w:t>
      </w:r>
      <w:r>
        <w:rPr>
          <w:rFonts w:hint="eastAsia" w:ascii="宋体" w:hAnsi="宋体" w:eastAsia="宋体" w:cs="宋体"/>
          <w:i w:val="0"/>
          <w:iCs w:val="0"/>
          <w:caps w:val="0"/>
          <w:color w:val="333333"/>
          <w:spacing w:val="0"/>
          <w:sz w:val="27"/>
          <w:szCs w:val="27"/>
          <w:lang w:val="en-US" w:eastAsia="zh-CN"/>
        </w:rPr>
        <w:t>及</w:t>
      </w:r>
      <w:r>
        <w:rPr>
          <w:rFonts w:hint="eastAsia" w:ascii="宋体" w:hAnsi="宋体" w:eastAsia="宋体" w:cs="宋体"/>
          <w:i w:val="0"/>
          <w:iCs w:val="0"/>
          <w:caps w:val="0"/>
          <w:color w:val="333333"/>
          <w:spacing w:val="0"/>
          <w:sz w:val="27"/>
          <w:szCs w:val="27"/>
        </w:rPr>
        <w:t>响应文件递交</w:t>
      </w:r>
    </w:p>
    <w:p w14:paraId="526A083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报名时间：自采购公告发布日起，至第5日</w:t>
      </w:r>
      <w:bookmarkStart w:id="0" w:name="_GoBack"/>
      <w:bookmarkEnd w:id="0"/>
      <w:r>
        <w:rPr>
          <w:rFonts w:hint="eastAsia" w:ascii="宋体" w:hAnsi="宋体" w:eastAsia="宋体" w:cs="宋体"/>
          <w:i w:val="0"/>
          <w:iCs w:val="0"/>
          <w:caps w:val="0"/>
          <w:color w:val="333333"/>
          <w:spacing w:val="0"/>
          <w:sz w:val="27"/>
          <w:szCs w:val="27"/>
          <w:lang w:val="en-US" w:eastAsia="zh-CN"/>
        </w:rPr>
        <w:t>16:00 截止 。</w:t>
      </w:r>
    </w:p>
    <w:p w14:paraId="532FAF3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default"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报名方式：通过电子邮件方式发送响应文件报名，过期无效。</w:t>
      </w:r>
    </w:p>
    <w:p w14:paraId="68DCE48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响应文件内容包括报价清单、企业营业执照、资质及相关业绩、授权书及联系方式、售后服务承诺书等，逐页加盖公章提供扫描件。</w:t>
      </w:r>
    </w:p>
    <w:p w14:paraId="01ADF7A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接收邮箱：297270916@qq.com</w:t>
      </w:r>
    </w:p>
    <w:p w14:paraId="39AA0986">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 评审</w:t>
      </w:r>
    </w:p>
    <w:p w14:paraId="49A9052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由采购评审小组根据供应商报价、资质及业绩、产品性能、质保期、售后服务等方面综合评审，确定供应商。</w:t>
      </w:r>
    </w:p>
    <w:p w14:paraId="60FBC6A8">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合同签订</w:t>
      </w:r>
    </w:p>
    <w:p w14:paraId="2F2459B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19"/>
          <w:szCs w:val="19"/>
        </w:rPr>
      </w:pPr>
      <w:r>
        <w:rPr>
          <w:rFonts w:hint="eastAsia" w:ascii="宋体" w:hAnsi="宋体" w:eastAsia="宋体" w:cs="宋体"/>
          <w:i w:val="0"/>
          <w:iCs w:val="0"/>
          <w:caps w:val="0"/>
          <w:color w:val="333333"/>
          <w:spacing w:val="0"/>
          <w:sz w:val="27"/>
          <w:szCs w:val="27"/>
          <w:lang w:val="en-US" w:eastAsia="zh-CN"/>
        </w:rPr>
        <w:t>公示</w:t>
      </w:r>
      <w:r>
        <w:rPr>
          <w:rFonts w:hint="eastAsia" w:ascii="宋体" w:hAnsi="宋体" w:eastAsia="宋体" w:cs="宋体"/>
          <w:i w:val="0"/>
          <w:iCs w:val="0"/>
          <w:caps w:val="0"/>
          <w:color w:val="333333"/>
          <w:spacing w:val="0"/>
          <w:sz w:val="27"/>
          <w:szCs w:val="27"/>
        </w:rPr>
        <w:t>结束后</w:t>
      </w:r>
      <w:r>
        <w:rPr>
          <w:rFonts w:hint="eastAsia" w:ascii="宋体" w:hAnsi="宋体" w:eastAsia="宋体" w:cs="宋体"/>
          <w:i w:val="0"/>
          <w:iCs w:val="0"/>
          <w:caps w:val="0"/>
          <w:color w:val="333333"/>
          <w:spacing w:val="0"/>
          <w:sz w:val="27"/>
          <w:szCs w:val="27"/>
          <w:lang w:val="en-US" w:eastAsia="zh-CN"/>
        </w:rPr>
        <w:t>5</w:t>
      </w:r>
      <w:r>
        <w:rPr>
          <w:rFonts w:hint="eastAsia" w:ascii="宋体" w:hAnsi="宋体" w:eastAsia="宋体" w:cs="宋体"/>
          <w:i w:val="0"/>
          <w:iCs w:val="0"/>
          <w:caps w:val="0"/>
          <w:color w:val="333333"/>
          <w:spacing w:val="0"/>
          <w:sz w:val="27"/>
          <w:szCs w:val="27"/>
        </w:rPr>
        <w:t>个工作日内签订合同。</w:t>
      </w:r>
    </w:p>
    <w:p w14:paraId="1E7683B1">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联系方式</w:t>
      </w:r>
    </w:p>
    <w:p w14:paraId="4F67E47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 w:lineRule="atLeast"/>
        <w:ind w:left="0" w:right="0" w:firstLine="540" w:firstLineChars="200"/>
        <w:jc w:val="left"/>
        <w:textAlignment w:val="auto"/>
        <w:rPr>
          <w:rFonts w:hint="eastAsia" w:ascii="宋体" w:hAnsi="宋体" w:eastAsia="宋体" w:cs="宋体"/>
          <w:i w:val="0"/>
          <w:iCs w:val="0"/>
          <w:caps w:val="0"/>
          <w:color w:val="333333"/>
          <w:spacing w:val="0"/>
          <w:sz w:val="27"/>
          <w:szCs w:val="27"/>
          <w:highlight w:val="none"/>
          <w:lang w:val="en-US" w:eastAsia="zh-CN"/>
        </w:rPr>
      </w:pPr>
      <w:r>
        <w:rPr>
          <w:rFonts w:hint="eastAsia" w:ascii="宋体" w:hAnsi="宋体" w:eastAsia="宋体" w:cs="宋体"/>
          <w:i w:val="0"/>
          <w:iCs w:val="0"/>
          <w:caps w:val="0"/>
          <w:color w:val="333333"/>
          <w:spacing w:val="0"/>
          <w:sz w:val="27"/>
          <w:szCs w:val="27"/>
          <w:highlight w:val="none"/>
        </w:rPr>
        <w:t>联系人</w:t>
      </w:r>
      <w:r>
        <w:rPr>
          <w:rFonts w:hint="eastAsia" w:ascii="宋体" w:hAnsi="宋体" w:eastAsia="宋体" w:cs="宋体"/>
          <w:i w:val="0"/>
          <w:iCs w:val="0"/>
          <w:caps w:val="0"/>
          <w:color w:val="333333"/>
          <w:spacing w:val="0"/>
          <w:sz w:val="27"/>
          <w:szCs w:val="27"/>
          <w:highlight w:val="none"/>
          <w:lang w:eastAsia="zh-CN"/>
        </w:rPr>
        <w:t>：</w:t>
      </w:r>
      <w:r>
        <w:rPr>
          <w:rFonts w:hint="eastAsia" w:ascii="宋体" w:hAnsi="宋体" w:eastAsia="宋体" w:cs="宋体"/>
          <w:i w:val="0"/>
          <w:iCs w:val="0"/>
          <w:caps w:val="0"/>
          <w:color w:val="333333"/>
          <w:spacing w:val="0"/>
          <w:sz w:val="27"/>
          <w:szCs w:val="27"/>
          <w:highlight w:val="none"/>
          <w:lang w:val="en-US" w:eastAsia="zh-CN"/>
        </w:rPr>
        <w:t>薛立梅</w:t>
      </w:r>
      <w:r>
        <w:rPr>
          <w:rFonts w:hint="eastAsia" w:ascii="宋体" w:hAnsi="宋体" w:eastAsia="宋体" w:cs="宋体"/>
          <w:i w:val="0"/>
          <w:iCs w:val="0"/>
          <w:caps w:val="0"/>
          <w:color w:val="333333"/>
          <w:spacing w:val="0"/>
          <w:sz w:val="27"/>
          <w:szCs w:val="27"/>
          <w:highlight w:val="none"/>
        </w:rPr>
        <w:t>，联系电话</w:t>
      </w:r>
      <w:r>
        <w:rPr>
          <w:rFonts w:hint="eastAsia" w:ascii="宋体" w:hAnsi="宋体" w:eastAsia="宋体" w:cs="宋体"/>
          <w:i w:val="0"/>
          <w:iCs w:val="0"/>
          <w:caps w:val="0"/>
          <w:color w:val="333333"/>
          <w:spacing w:val="0"/>
          <w:sz w:val="27"/>
          <w:szCs w:val="27"/>
          <w:highlight w:val="none"/>
          <w:lang w:eastAsia="zh-CN"/>
        </w:rPr>
        <w:t>：</w:t>
      </w:r>
      <w:r>
        <w:rPr>
          <w:rFonts w:hint="eastAsia" w:ascii="宋体" w:hAnsi="宋体" w:eastAsia="宋体" w:cs="宋体"/>
          <w:i w:val="0"/>
          <w:iCs w:val="0"/>
          <w:caps w:val="0"/>
          <w:color w:val="333333"/>
          <w:spacing w:val="0"/>
          <w:sz w:val="27"/>
          <w:szCs w:val="27"/>
          <w:highlight w:val="none"/>
        </w:rPr>
        <w:t> 0431-8077</w:t>
      </w:r>
      <w:r>
        <w:rPr>
          <w:rFonts w:hint="eastAsia" w:ascii="宋体" w:hAnsi="宋体" w:eastAsia="宋体" w:cs="宋体"/>
          <w:i w:val="0"/>
          <w:iCs w:val="0"/>
          <w:caps w:val="0"/>
          <w:color w:val="333333"/>
          <w:spacing w:val="0"/>
          <w:sz w:val="27"/>
          <w:szCs w:val="27"/>
          <w:highlight w:val="none"/>
          <w:lang w:val="en-US" w:eastAsia="zh-CN"/>
        </w:rPr>
        <w:t>0106</w:t>
      </w:r>
      <w:r>
        <w:rPr>
          <w:rFonts w:hint="eastAsia" w:ascii="宋体" w:hAnsi="宋体" w:eastAsia="宋体" w:cs="宋体"/>
          <w:i w:val="0"/>
          <w:iCs w:val="0"/>
          <w:caps w:val="0"/>
          <w:color w:val="333333"/>
          <w:spacing w:val="0"/>
          <w:sz w:val="27"/>
          <w:szCs w:val="27"/>
          <w:highlight w:val="none"/>
        </w:rPr>
        <w:t xml:space="preserve"> </w:t>
      </w:r>
      <w:r>
        <w:rPr>
          <w:rFonts w:hint="eastAsia" w:ascii="宋体" w:hAnsi="宋体" w:eastAsia="宋体" w:cs="宋体"/>
          <w:i w:val="0"/>
          <w:iCs w:val="0"/>
          <w:caps w:val="0"/>
          <w:color w:val="333333"/>
          <w:spacing w:val="0"/>
          <w:sz w:val="27"/>
          <w:szCs w:val="27"/>
          <w:highlight w:val="none"/>
          <w:lang w:val="en-US" w:eastAsia="zh-CN"/>
        </w:rPr>
        <w:t>/13844842681</w:t>
      </w:r>
    </w:p>
    <w:p w14:paraId="145EDB1D">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333333"/>
          <w:spacing w:val="0"/>
          <w:sz w:val="27"/>
          <w:szCs w:val="27"/>
          <w:lang w:val="en-US" w:eastAsia="zh-CN"/>
        </w:rPr>
      </w:pPr>
    </w:p>
    <w:p w14:paraId="2113438B">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b/>
          <w:bCs/>
          <w:i w:val="0"/>
          <w:iCs w:val="0"/>
          <w:caps w:val="0"/>
          <w:color w:val="333333"/>
          <w:spacing w:val="0"/>
          <w:sz w:val="27"/>
          <w:szCs w:val="27"/>
          <w:lang w:val="en-US" w:eastAsia="zh-CN"/>
        </w:rPr>
      </w:pPr>
      <w:r>
        <w:rPr>
          <w:rFonts w:hint="eastAsia" w:ascii="宋体" w:hAnsi="宋体" w:eastAsia="宋体" w:cs="宋体"/>
          <w:b/>
          <w:bCs/>
          <w:i w:val="0"/>
          <w:iCs w:val="0"/>
          <w:caps w:val="0"/>
          <w:color w:val="333333"/>
          <w:spacing w:val="0"/>
          <w:sz w:val="27"/>
          <w:szCs w:val="27"/>
          <w:lang w:val="en-US" w:eastAsia="zh-CN"/>
        </w:rPr>
        <w:t>附件：</w:t>
      </w:r>
    </w:p>
    <w:p w14:paraId="4FD1B93E">
      <w:pPr>
        <w:pStyle w:val="3"/>
        <w:keepNext w:val="0"/>
        <w:keepLines w:val="0"/>
        <w:widowControl/>
        <w:suppressLineNumbers w:val="0"/>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lang w:val="en-US" w:eastAsia="zh-CN"/>
        </w:rPr>
      </w:pPr>
      <w:r>
        <w:rPr>
          <w:rFonts w:hint="eastAsia" w:ascii="宋体" w:hAnsi="宋体" w:eastAsia="宋体" w:cs="宋体"/>
          <w:b/>
          <w:bCs/>
          <w:i w:val="0"/>
          <w:iCs w:val="0"/>
          <w:caps w:val="0"/>
          <w:color w:val="333333"/>
          <w:spacing w:val="0"/>
          <w:sz w:val="27"/>
          <w:szCs w:val="27"/>
          <w:lang w:val="en-US" w:eastAsia="zh-CN"/>
        </w:rPr>
        <w:t>报价清单</w:t>
      </w:r>
    </w:p>
    <w:tbl>
      <w:tblPr>
        <w:tblStyle w:val="4"/>
        <w:tblW w:w="57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1221"/>
        <w:gridCol w:w="537"/>
        <w:gridCol w:w="520"/>
        <w:gridCol w:w="4217"/>
        <w:gridCol w:w="881"/>
        <w:gridCol w:w="881"/>
        <w:gridCol w:w="1003"/>
      </w:tblGrid>
      <w:tr w14:paraId="4171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57" w:type="pct"/>
            <w:noWrap w:val="0"/>
            <w:vAlign w:val="center"/>
          </w:tcPr>
          <w:p w14:paraId="46AB2891">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序号</w:t>
            </w:r>
          </w:p>
        </w:tc>
        <w:tc>
          <w:tcPr>
            <w:tcW w:w="625" w:type="pct"/>
            <w:noWrap w:val="0"/>
            <w:vAlign w:val="center"/>
          </w:tcPr>
          <w:p w14:paraId="6C685A45">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名称</w:t>
            </w:r>
          </w:p>
        </w:tc>
        <w:tc>
          <w:tcPr>
            <w:tcW w:w="275" w:type="pct"/>
            <w:noWrap w:val="0"/>
            <w:vAlign w:val="center"/>
          </w:tcPr>
          <w:p w14:paraId="1897D4C4">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单位</w:t>
            </w:r>
          </w:p>
        </w:tc>
        <w:tc>
          <w:tcPr>
            <w:tcW w:w="266" w:type="pct"/>
            <w:noWrap w:val="0"/>
            <w:vAlign w:val="center"/>
          </w:tcPr>
          <w:p w14:paraId="62E85AE1">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数量</w:t>
            </w:r>
          </w:p>
        </w:tc>
        <w:tc>
          <w:tcPr>
            <w:tcW w:w="2159" w:type="pct"/>
            <w:noWrap w:val="0"/>
            <w:vAlign w:val="center"/>
          </w:tcPr>
          <w:p w14:paraId="2CE9148A">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主要技术指标</w:t>
            </w:r>
          </w:p>
        </w:tc>
        <w:tc>
          <w:tcPr>
            <w:tcW w:w="451" w:type="pct"/>
            <w:noWrap w:val="0"/>
            <w:vAlign w:val="center"/>
          </w:tcPr>
          <w:p w14:paraId="1591DAAB">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b/>
                <w:sz w:val="21"/>
                <w:szCs w:val="21"/>
                <w:lang w:val="en-US" w:eastAsia="zh-CN"/>
              </w:rPr>
            </w:pPr>
            <w:r>
              <w:rPr>
                <w:rFonts w:hint="eastAsia" w:ascii="宋体" w:hAnsi="宋体" w:eastAsia="宋体" w:cs="宋体"/>
                <w:b/>
                <w:sz w:val="21"/>
                <w:szCs w:val="21"/>
                <w:lang w:val="en-US" w:eastAsia="zh-CN"/>
              </w:rPr>
              <w:t>品牌、型号</w:t>
            </w:r>
          </w:p>
        </w:tc>
        <w:tc>
          <w:tcPr>
            <w:tcW w:w="451" w:type="pct"/>
            <w:noWrap w:val="0"/>
            <w:vAlign w:val="center"/>
          </w:tcPr>
          <w:p w14:paraId="05B046C0">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sz w:val="21"/>
                <w:szCs w:val="21"/>
                <w:lang w:eastAsia="zh-CN"/>
              </w:rPr>
            </w:pPr>
            <w:r>
              <w:rPr>
                <w:rFonts w:hint="eastAsia" w:ascii="宋体" w:hAnsi="宋体" w:eastAsia="宋体" w:cs="宋体"/>
                <w:b/>
                <w:sz w:val="21"/>
                <w:szCs w:val="21"/>
              </w:rPr>
              <w:t>单价</w:t>
            </w:r>
            <w:r>
              <w:rPr>
                <w:rFonts w:hint="eastAsia" w:ascii="宋体" w:hAnsi="宋体" w:eastAsia="宋体" w:cs="宋体"/>
                <w:b/>
                <w:sz w:val="21"/>
                <w:szCs w:val="21"/>
                <w:lang w:eastAsia="zh-CN"/>
              </w:rPr>
              <w:t>（</w:t>
            </w:r>
            <w:r>
              <w:rPr>
                <w:rFonts w:hint="eastAsia" w:ascii="宋体" w:hAnsi="宋体" w:eastAsia="宋体" w:cs="宋体"/>
                <w:b/>
                <w:sz w:val="21"/>
                <w:szCs w:val="21"/>
                <w:lang w:val="en-US" w:eastAsia="zh-CN"/>
              </w:rPr>
              <w:t>元</w:t>
            </w:r>
            <w:r>
              <w:rPr>
                <w:rFonts w:hint="eastAsia" w:ascii="宋体" w:hAnsi="宋体" w:eastAsia="宋体" w:cs="宋体"/>
                <w:b/>
                <w:sz w:val="21"/>
                <w:szCs w:val="21"/>
                <w:lang w:eastAsia="zh-CN"/>
              </w:rPr>
              <w:t>）</w:t>
            </w:r>
          </w:p>
        </w:tc>
        <w:tc>
          <w:tcPr>
            <w:tcW w:w="513" w:type="pct"/>
            <w:noWrap w:val="0"/>
            <w:vAlign w:val="center"/>
          </w:tcPr>
          <w:p w14:paraId="3762C172">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sz w:val="21"/>
                <w:szCs w:val="21"/>
                <w:lang w:eastAsia="zh-CN"/>
              </w:rPr>
            </w:pPr>
            <w:r>
              <w:rPr>
                <w:rFonts w:hint="eastAsia" w:ascii="宋体" w:hAnsi="宋体" w:eastAsia="宋体" w:cs="宋体"/>
                <w:b/>
                <w:sz w:val="21"/>
                <w:szCs w:val="21"/>
                <w:lang w:val="en-US" w:eastAsia="zh-CN"/>
              </w:rPr>
              <w:t>合价（元）</w:t>
            </w:r>
          </w:p>
        </w:tc>
      </w:tr>
      <w:tr w14:paraId="6CDA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57" w:type="pct"/>
            <w:noWrap w:val="0"/>
            <w:vAlign w:val="center"/>
          </w:tcPr>
          <w:p w14:paraId="11C24152">
            <w:pPr>
              <w:keepNext w:val="0"/>
              <w:keepLines w:val="0"/>
              <w:pageBreakBefore w:val="0"/>
              <w:numPr>
                <w:ilvl w:val="0"/>
                <w:numId w:val="2"/>
              </w:numPr>
              <w:kinsoku/>
              <w:wordWrap/>
              <w:overflowPunct/>
              <w:topLinePunct w:val="0"/>
              <w:autoSpaceDE/>
              <w:autoSpaceDN/>
              <w:bidi w:val="0"/>
              <w:adjustRightInd/>
              <w:snapToGrid w:val="0"/>
              <w:spacing w:line="240" w:lineRule="auto"/>
              <w:ind w:left="425" w:leftChars="0" w:hanging="425" w:firstLineChars="0"/>
              <w:jc w:val="center"/>
              <w:textAlignment w:val="auto"/>
              <w:rPr>
                <w:rFonts w:hint="eastAsia" w:ascii="宋体" w:hAnsi="宋体" w:eastAsia="宋体" w:cs="宋体"/>
                <w:sz w:val="21"/>
                <w:szCs w:val="21"/>
              </w:rPr>
            </w:pPr>
          </w:p>
        </w:tc>
        <w:tc>
          <w:tcPr>
            <w:tcW w:w="625" w:type="pct"/>
            <w:noWrap w:val="0"/>
            <w:vAlign w:val="center"/>
          </w:tcPr>
          <w:p w14:paraId="3B9F7E06">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服务器</w:t>
            </w:r>
          </w:p>
        </w:tc>
        <w:tc>
          <w:tcPr>
            <w:tcW w:w="275" w:type="pct"/>
            <w:noWrap w:val="0"/>
            <w:vAlign w:val="center"/>
          </w:tcPr>
          <w:p w14:paraId="27F96F90">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266" w:type="pct"/>
            <w:noWrap w:val="0"/>
            <w:vAlign w:val="center"/>
          </w:tcPr>
          <w:p w14:paraId="1D9CF251">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2159" w:type="pct"/>
            <w:noWrap w:val="0"/>
            <w:vAlign w:val="center"/>
          </w:tcPr>
          <w:p w14:paraId="670178C2">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宋体"/>
                <w:sz w:val="21"/>
                <w:szCs w:val="21"/>
              </w:rPr>
            </w:pPr>
            <w:r>
              <w:rPr>
                <w:rFonts w:hint="eastAsia" w:ascii="宋体" w:hAnsi="宋体" w:eastAsia="宋体" w:cs="宋体"/>
                <w:color w:val="auto"/>
                <w:kern w:val="0"/>
                <w:sz w:val="21"/>
                <w:szCs w:val="21"/>
                <w:highlight w:val="none"/>
                <w:lang w:val="zh-CN"/>
              </w:rPr>
              <w:t>机架式服务器，2颗CPU（Hygon5380 2.5GHz 16核） /</w:t>
            </w:r>
            <w:r>
              <w:rPr>
                <w:rFonts w:hint="eastAsia" w:ascii="宋体" w:hAnsi="宋体" w:eastAsia="宋体" w:cs="宋体"/>
                <w:color w:val="auto"/>
                <w:kern w:val="0"/>
                <w:sz w:val="21"/>
                <w:szCs w:val="21"/>
                <w:highlight w:val="none"/>
                <w:lang w:val="en-US" w:eastAsia="zh-CN"/>
              </w:rPr>
              <w:t>64</w:t>
            </w:r>
            <w:r>
              <w:rPr>
                <w:rFonts w:hint="eastAsia" w:ascii="宋体" w:hAnsi="宋体" w:eastAsia="宋体" w:cs="宋体"/>
                <w:color w:val="auto"/>
                <w:kern w:val="0"/>
                <w:sz w:val="21"/>
                <w:szCs w:val="21"/>
                <w:highlight w:val="none"/>
                <w:lang w:val="zh-CN"/>
              </w:rPr>
              <w:t>G内存（DDR4 3200*2）/硬盘 1.2T SAS 10K*3/铂金电源1+1冗余/阵列卡：8204 2G缓存/网卡：双口千兆网卡</w:t>
            </w:r>
            <w:r>
              <w:rPr>
                <w:rFonts w:hint="eastAsia" w:ascii="宋体" w:hAnsi="宋体" w:eastAsia="宋体" w:cs="宋体"/>
                <w:color w:val="auto"/>
                <w:kern w:val="0"/>
                <w:sz w:val="21"/>
                <w:szCs w:val="21"/>
                <w:highlight w:val="none"/>
                <w:lang w:val="en-US" w:eastAsia="zh-CN"/>
              </w:rPr>
              <w:t>/保修三年。</w:t>
            </w:r>
          </w:p>
        </w:tc>
        <w:tc>
          <w:tcPr>
            <w:tcW w:w="451" w:type="pct"/>
            <w:noWrap w:val="0"/>
            <w:vAlign w:val="center"/>
          </w:tcPr>
          <w:p w14:paraId="79B7A28A">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451" w:type="pct"/>
            <w:noWrap w:val="0"/>
            <w:vAlign w:val="center"/>
          </w:tcPr>
          <w:p w14:paraId="42087FB2">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513" w:type="pct"/>
            <w:noWrap w:val="0"/>
            <w:vAlign w:val="center"/>
          </w:tcPr>
          <w:p w14:paraId="60D67A22">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r>
      <w:tr w14:paraId="56C3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57" w:type="pct"/>
            <w:noWrap w:val="0"/>
            <w:vAlign w:val="center"/>
          </w:tcPr>
          <w:p w14:paraId="11971CAC">
            <w:pPr>
              <w:keepNext w:val="0"/>
              <w:keepLines w:val="0"/>
              <w:pageBreakBefore w:val="0"/>
              <w:numPr>
                <w:ilvl w:val="0"/>
                <w:numId w:val="2"/>
              </w:numPr>
              <w:kinsoku/>
              <w:wordWrap/>
              <w:overflowPunct/>
              <w:topLinePunct w:val="0"/>
              <w:autoSpaceDE/>
              <w:autoSpaceDN/>
              <w:bidi w:val="0"/>
              <w:adjustRightInd/>
              <w:snapToGrid w:val="0"/>
              <w:spacing w:line="240" w:lineRule="auto"/>
              <w:ind w:left="425" w:leftChars="0" w:hanging="425" w:firstLineChars="0"/>
              <w:jc w:val="center"/>
              <w:textAlignment w:val="auto"/>
              <w:rPr>
                <w:rFonts w:hint="eastAsia" w:ascii="宋体" w:hAnsi="宋体" w:eastAsia="宋体" w:cs="宋体"/>
                <w:sz w:val="21"/>
                <w:szCs w:val="21"/>
              </w:rPr>
            </w:pPr>
          </w:p>
        </w:tc>
        <w:tc>
          <w:tcPr>
            <w:tcW w:w="625" w:type="pct"/>
            <w:noWrap w:val="0"/>
            <w:vAlign w:val="center"/>
          </w:tcPr>
          <w:p w14:paraId="6739B03C">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操作系统</w:t>
            </w:r>
          </w:p>
        </w:tc>
        <w:tc>
          <w:tcPr>
            <w:tcW w:w="275" w:type="pct"/>
            <w:noWrap w:val="0"/>
            <w:vAlign w:val="center"/>
          </w:tcPr>
          <w:p w14:paraId="35DFA348">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266" w:type="pct"/>
            <w:noWrap w:val="0"/>
            <w:vAlign w:val="center"/>
          </w:tcPr>
          <w:p w14:paraId="39442890">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2159" w:type="pct"/>
            <w:noWrap w:val="0"/>
            <w:vAlign w:val="center"/>
          </w:tcPr>
          <w:p w14:paraId="4F862A03">
            <w:pPr>
              <w:pStyle w:val="9"/>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银河麒麟服务器操作系统V10</w:t>
            </w:r>
          </w:p>
        </w:tc>
        <w:tc>
          <w:tcPr>
            <w:tcW w:w="451" w:type="pct"/>
            <w:noWrap w:val="0"/>
            <w:vAlign w:val="center"/>
          </w:tcPr>
          <w:p w14:paraId="01B2FD83">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451" w:type="pct"/>
            <w:noWrap w:val="0"/>
            <w:vAlign w:val="center"/>
          </w:tcPr>
          <w:p w14:paraId="6A54A221">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513" w:type="pct"/>
            <w:noWrap w:val="0"/>
            <w:vAlign w:val="center"/>
          </w:tcPr>
          <w:p w14:paraId="6BF82E28">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r>
      <w:tr w14:paraId="133C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57" w:type="pct"/>
            <w:noWrap w:val="0"/>
            <w:vAlign w:val="center"/>
          </w:tcPr>
          <w:p w14:paraId="04014E85">
            <w:pPr>
              <w:keepNext w:val="0"/>
              <w:keepLines w:val="0"/>
              <w:pageBreakBefore w:val="0"/>
              <w:numPr>
                <w:ilvl w:val="0"/>
                <w:numId w:val="2"/>
              </w:numPr>
              <w:kinsoku/>
              <w:wordWrap/>
              <w:overflowPunct/>
              <w:topLinePunct w:val="0"/>
              <w:autoSpaceDE/>
              <w:autoSpaceDN/>
              <w:bidi w:val="0"/>
              <w:adjustRightInd/>
              <w:snapToGrid w:val="0"/>
              <w:spacing w:line="240" w:lineRule="auto"/>
              <w:ind w:left="425" w:leftChars="0" w:hanging="425" w:firstLineChars="0"/>
              <w:jc w:val="center"/>
              <w:textAlignment w:val="auto"/>
              <w:rPr>
                <w:rFonts w:hint="eastAsia" w:ascii="宋体" w:hAnsi="宋体" w:eastAsia="宋体" w:cs="宋体"/>
                <w:sz w:val="21"/>
                <w:szCs w:val="21"/>
              </w:rPr>
            </w:pPr>
          </w:p>
        </w:tc>
        <w:tc>
          <w:tcPr>
            <w:tcW w:w="625" w:type="pct"/>
            <w:noWrap w:val="0"/>
            <w:vAlign w:val="center"/>
          </w:tcPr>
          <w:p w14:paraId="7FFDCD8E">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台式电脑</w:t>
            </w:r>
          </w:p>
        </w:tc>
        <w:tc>
          <w:tcPr>
            <w:tcW w:w="275" w:type="pct"/>
            <w:noWrap w:val="0"/>
            <w:vAlign w:val="center"/>
          </w:tcPr>
          <w:p w14:paraId="0817AEAF">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266" w:type="pct"/>
            <w:noWrap w:val="0"/>
            <w:vAlign w:val="center"/>
          </w:tcPr>
          <w:p w14:paraId="607D7128">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3</w:t>
            </w:r>
          </w:p>
        </w:tc>
        <w:tc>
          <w:tcPr>
            <w:tcW w:w="2159" w:type="pct"/>
            <w:noWrap w:val="0"/>
            <w:vAlign w:val="center"/>
          </w:tcPr>
          <w:p w14:paraId="2FB707C3">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CPU型号:麒麟9006C</w:t>
            </w:r>
          </w:p>
          <w:p w14:paraId="25793208">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内存：16GB</w:t>
            </w:r>
          </w:p>
          <w:p w14:paraId="54297793">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硬盘：512GB固态硬盘</w:t>
            </w:r>
          </w:p>
          <w:p w14:paraId="2BBFAB63">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尺寸：23.8英寸显示器1920*1080</w:t>
            </w:r>
          </w:p>
          <w:p w14:paraId="78351C1B">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标配：键盘鼠标</w:t>
            </w:r>
          </w:p>
          <w:p w14:paraId="0836E116">
            <w:pPr>
              <w:keepNext w:val="0"/>
              <w:keepLines w:val="0"/>
              <w:pageBreakBefore w:val="0"/>
              <w:kinsoku/>
              <w:wordWrap/>
              <w:overflowPunct/>
              <w:topLinePunct w:val="0"/>
              <w:autoSpaceDE/>
              <w:autoSpaceDN/>
              <w:bidi w:val="0"/>
              <w:adjustRightInd/>
              <w:snapToGrid w:val="0"/>
              <w:spacing w:line="240" w:lineRule="auto"/>
              <w:textAlignment w:val="auto"/>
              <w:rPr>
                <w:rFonts w:hint="default" w:ascii="宋体" w:hAnsi="宋体" w:eastAsia="宋体" w:cs="宋体"/>
                <w:sz w:val="21"/>
                <w:szCs w:val="21"/>
                <w:lang w:val="en-US" w:eastAsia="zh-CN"/>
              </w:rPr>
            </w:pPr>
            <w:r>
              <w:rPr>
                <w:rFonts w:hint="eastAsia" w:ascii="宋体" w:hAnsi="宋体" w:eastAsia="宋体" w:cs="宋体"/>
                <w:color w:val="auto"/>
                <w:kern w:val="0"/>
                <w:szCs w:val="21"/>
                <w:highlight w:val="none"/>
              </w:rPr>
              <w:t>操作系统：统信UOS专业版V20永久授权激活</w:t>
            </w:r>
            <w:r>
              <w:rPr>
                <w:rFonts w:hint="eastAsia" w:ascii="宋体" w:hAnsi="宋体" w:eastAsia="宋体" w:cs="宋体"/>
                <w:color w:val="auto"/>
                <w:kern w:val="0"/>
                <w:szCs w:val="21"/>
                <w:highlight w:val="none"/>
                <w:lang w:eastAsia="zh-CN"/>
              </w:rPr>
              <w:t>。</w:t>
            </w:r>
          </w:p>
        </w:tc>
        <w:tc>
          <w:tcPr>
            <w:tcW w:w="451" w:type="pct"/>
            <w:noWrap w:val="0"/>
            <w:vAlign w:val="center"/>
          </w:tcPr>
          <w:p w14:paraId="136F9B28">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451" w:type="pct"/>
            <w:noWrap w:val="0"/>
            <w:vAlign w:val="center"/>
          </w:tcPr>
          <w:p w14:paraId="1D5AD7FE">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513" w:type="pct"/>
            <w:noWrap w:val="0"/>
            <w:vAlign w:val="center"/>
          </w:tcPr>
          <w:p w14:paraId="18B4D5CC">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r>
      <w:tr w14:paraId="070F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57" w:type="pct"/>
            <w:noWrap w:val="0"/>
            <w:vAlign w:val="center"/>
          </w:tcPr>
          <w:p w14:paraId="1EA32582">
            <w:pPr>
              <w:keepNext w:val="0"/>
              <w:keepLines w:val="0"/>
              <w:pageBreakBefore w:val="0"/>
              <w:numPr>
                <w:ilvl w:val="0"/>
                <w:numId w:val="2"/>
              </w:numPr>
              <w:kinsoku/>
              <w:wordWrap/>
              <w:overflowPunct/>
              <w:topLinePunct w:val="0"/>
              <w:autoSpaceDE/>
              <w:autoSpaceDN/>
              <w:bidi w:val="0"/>
              <w:adjustRightInd/>
              <w:snapToGrid w:val="0"/>
              <w:spacing w:line="240" w:lineRule="auto"/>
              <w:ind w:left="425" w:leftChars="0" w:hanging="425" w:firstLineChars="0"/>
              <w:jc w:val="center"/>
              <w:textAlignment w:val="auto"/>
              <w:rPr>
                <w:rFonts w:hint="eastAsia" w:ascii="宋体" w:hAnsi="宋体" w:eastAsia="宋体" w:cs="宋体"/>
                <w:sz w:val="21"/>
                <w:szCs w:val="21"/>
              </w:rPr>
            </w:pPr>
          </w:p>
        </w:tc>
        <w:tc>
          <w:tcPr>
            <w:tcW w:w="625" w:type="pct"/>
            <w:noWrap w:val="0"/>
            <w:vAlign w:val="center"/>
          </w:tcPr>
          <w:p w14:paraId="1054D058">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双机热备软件</w:t>
            </w:r>
          </w:p>
        </w:tc>
        <w:tc>
          <w:tcPr>
            <w:tcW w:w="275" w:type="pct"/>
            <w:noWrap w:val="0"/>
            <w:vAlign w:val="center"/>
          </w:tcPr>
          <w:p w14:paraId="782BE2C9">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套</w:t>
            </w:r>
          </w:p>
        </w:tc>
        <w:tc>
          <w:tcPr>
            <w:tcW w:w="266" w:type="pct"/>
            <w:noWrap w:val="0"/>
            <w:vAlign w:val="center"/>
          </w:tcPr>
          <w:p w14:paraId="0307F104">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2159" w:type="pct"/>
            <w:noWrap w:val="0"/>
            <w:vAlign w:val="center"/>
          </w:tcPr>
          <w:p w14:paraId="76ABD2E6">
            <w:pPr>
              <w:pStyle w:val="9"/>
              <w:keepNext w:val="0"/>
              <w:keepLines w:val="0"/>
              <w:pageBreakBefore w:val="0"/>
              <w:widowControl/>
              <w:numPr>
                <w:ilvl w:val="0"/>
                <w:numId w:val="3"/>
              </w:numPr>
              <w:kinsoku/>
              <w:wordWrap/>
              <w:overflowPunct/>
              <w:topLinePunct w:val="0"/>
              <w:autoSpaceDE/>
              <w:autoSpaceDN/>
              <w:bidi w:val="0"/>
              <w:adjustRightInd/>
              <w:snapToGrid w:val="0"/>
              <w:spacing w:line="240" w:lineRule="auto"/>
              <w:jc w:val="left"/>
              <w:textAlignment w:val="auto"/>
              <w:rPr>
                <w:rFonts w:hint="eastAsia" w:ascii="宋体" w:hAnsi="宋体" w:cs="宋体"/>
              </w:rPr>
            </w:pPr>
            <w:r>
              <w:rPr>
                <w:rFonts w:hint="eastAsia" w:ascii="宋体" w:hAnsi="宋体" w:cs="宋体"/>
              </w:rPr>
              <w:t>操作系统支持</w:t>
            </w:r>
          </w:p>
          <w:p w14:paraId="091F95E7">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jc w:val="left"/>
              <w:textAlignment w:val="auto"/>
              <w:rPr>
                <w:rFonts w:hint="eastAsia" w:ascii="宋体" w:hAnsi="宋体" w:cs="宋体"/>
              </w:rPr>
            </w:pPr>
            <w:r>
              <w:rPr>
                <w:rFonts w:hint="eastAsia" w:ascii="宋体" w:hAnsi="宋体" w:cs="宋体"/>
              </w:rPr>
              <w:t>• Windows Server：支持 Windows Server 2008、2012、2016、2019。</w:t>
            </w:r>
          </w:p>
          <w:p w14:paraId="63BC6683">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jc w:val="left"/>
              <w:textAlignment w:val="auto"/>
              <w:rPr>
                <w:rFonts w:hint="eastAsia" w:ascii="宋体" w:hAnsi="宋体" w:cs="宋体"/>
              </w:rPr>
            </w:pPr>
            <w:r>
              <w:rPr>
                <w:rFonts w:hint="eastAsia" w:ascii="宋体" w:hAnsi="宋体" w:cs="宋体"/>
              </w:rPr>
              <w:t>• Linux Server：</w:t>
            </w:r>
          </w:p>
          <w:p w14:paraId="6927228E">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ind w:firstLine="210" w:firstLineChars="100"/>
              <w:jc w:val="left"/>
              <w:textAlignment w:val="auto"/>
              <w:rPr>
                <w:rFonts w:hint="eastAsia" w:ascii="宋体" w:hAnsi="宋体" w:cs="宋体"/>
              </w:rPr>
            </w:pPr>
            <w:r>
              <w:rPr>
                <w:rFonts w:hint="eastAsia" w:ascii="宋体" w:hAnsi="宋体" w:cs="宋体"/>
              </w:rPr>
              <w:t xml:space="preserve"> Red Hat：支持版本 6、7、8。</w:t>
            </w:r>
          </w:p>
          <w:p w14:paraId="32269769">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jc w:val="left"/>
              <w:textAlignment w:val="auto"/>
              <w:rPr>
                <w:rFonts w:hint="eastAsia" w:ascii="宋体" w:hAnsi="宋体" w:cs="宋体"/>
              </w:rPr>
            </w:pPr>
            <w:r>
              <w:rPr>
                <w:rFonts w:hint="eastAsia" w:ascii="宋体" w:hAnsi="宋体" w:cs="宋体"/>
              </w:rPr>
              <w:t>• SUSE：支持版本 11、12。</w:t>
            </w:r>
          </w:p>
          <w:p w14:paraId="4E972FB3">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jc w:val="left"/>
              <w:textAlignment w:val="auto"/>
              <w:rPr>
                <w:rFonts w:hint="eastAsia" w:ascii="宋体" w:hAnsi="宋体" w:cs="宋体"/>
              </w:rPr>
            </w:pPr>
            <w:r>
              <w:rPr>
                <w:rFonts w:hint="eastAsia" w:ascii="宋体" w:hAnsi="宋体" w:cs="宋体"/>
              </w:rPr>
              <w:t>• CentOS：支持版本 6、7、8。</w:t>
            </w:r>
          </w:p>
          <w:p w14:paraId="5105C2AA">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jc w:val="left"/>
              <w:textAlignment w:val="auto"/>
              <w:rPr>
                <w:rFonts w:hint="eastAsia" w:ascii="宋体" w:hAnsi="宋体" w:cs="宋体"/>
              </w:rPr>
            </w:pPr>
            <w:r>
              <w:rPr>
                <w:rFonts w:hint="eastAsia" w:ascii="宋体" w:hAnsi="宋体" w:cs="宋体"/>
              </w:rPr>
              <w:t>• 其他Linux发行版：支持 Ubuntu（V16.x/V18.x/V19.x）、RedFlag Asianux Server V7.0、普华 iSoft（V3.0/V4.0）。</w:t>
            </w:r>
            <w:r>
              <w:rPr>
                <w:rFonts w:hint="eastAsia" w:ascii="宋体" w:hAnsi="宋体" w:eastAsia="宋体" w:cs="宋体"/>
              </w:rPr>
              <w:t>2. 数据库支持</w:t>
            </w:r>
            <w:r>
              <w:rPr>
                <w:rFonts w:hint="eastAsia" w:ascii="宋体" w:hAnsi="宋体" w:eastAsia="宋体" w:cs="宋体"/>
                <w:lang w:eastAsia="zh-CN"/>
              </w:rPr>
              <w:t>，</w:t>
            </w:r>
            <w:r>
              <w:rPr>
                <w:rFonts w:hint="eastAsia" w:ascii="宋体" w:hAnsi="宋体" w:cs="宋体"/>
              </w:rPr>
              <w:t>包括：PostgreSQL</w:t>
            </w:r>
            <w:r>
              <w:rPr>
                <w:rFonts w:hint="eastAsia" w:ascii="宋体" w:hAnsi="宋体" w:cs="宋体"/>
                <w:lang w:eastAsia="zh-CN"/>
              </w:rPr>
              <w:t>、</w:t>
            </w:r>
            <w:r>
              <w:rPr>
                <w:rFonts w:hint="eastAsia" w:ascii="宋体" w:hAnsi="宋体" w:cs="宋体"/>
              </w:rPr>
              <w:t xml:space="preserve"> Oracle</w:t>
            </w:r>
            <w:r>
              <w:rPr>
                <w:rFonts w:hint="eastAsia" w:ascii="宋体" w:hAnsi="宋体" w:cs="宋体"/>
                <w:lang w:eastAsia="zh-CN"/>
              </w:rPr>
              <w:t>、</w:t>
            </w:r>
            <w:r>
              <w:rPr>
                <w:rFonts w:hint="eastAsia" w:ascii="宋体" w:hAnsi="宋体" w:cs="宋体"/>
              </w:rPr>
              <w:t xml:space="preserve"> Microsoft SQL Server (MSSQL)</w:t>
            </w:r>
            <w:r>
              <w:rPr>
                <w:rFonts w:hint="eastAsia" w:ascii="宋体" w:hAnsi="宋体" w:cs="宋体"/>
                <w:lang w:eastAsia="zh-CN"/>
              </w:rPr>
              <w:t>、</w:t>
            </w:r>
            <w:r>
              <w:rPr>
                <w:rFonts w:hint="eastAsia" w:ascii="宋体" w:hAnsi="宋体" w:cs="宋体"/>
              </w:rPr>
              <w:t xml:space="preserve"> Sybase</w:t>
            </w:r>
            <w:r>
              <w:rPr>
                <w:rFonts w:hint="eastAsia" w:ascii="宋体" w:hAnsi="宋体" w:cs="宋体"/>
                <w:lang w:eastAsia="zh-CN"/>
              </w:rPr>
              <w:t>、</w:t>
            </w:r>
            <w:r>
              <w:rPr>
                <w:rFonts w:hint="eastAsia" w:ascii="宋体" w:hAnsi="宋体" w:cs="宋体"/>
              </w:rPr>
              <w:t xml:space="preserve"> DB2</w:t>
            </w:r>
            <w:r>
              <w:rPr>
                <w:rFonts w:hint="eastAsia" w:ascii="宋体" w:hAnsi="宋体" w:cs="宋体"/>
                <w:lang w:eastAsia="zh-CN"/>
              </w:rPr>
              <w:t>、</w:t>
            </w:r>
            <w:r>
              <w:rPr>
                <w:rFonts w:hint="eastAsia" w:ascii="宋体" w:hAnsi="宋体" w:cs="宋体"/>
              </w:rPr>
              <w:t xml:space="preserve"> MySQL</w:t>
            </w:r>
            <w:r>
              <w:rPr>
                <w:rFonts w:hint="eastAsia" w:ascii="宋体" w:hAnsi="宋体" w:cs="宋体"/>
                <w:lang w:eastAsia="zh-CN"/>
              </w:rPr>
              <w:t>、</w:t>
            </w:r>
            <w:r>
              <w:rPr>
                <w:rFonts w:hint="eastAsia" w:ascii="宋体" w:hAnsi="宋体" w:cs="宋体"/>
              </w:rPr>
              <w:t xml:space="preserve"> MongoDB</w:t>
            </w:r>
            <w:r>
              <w:rPr>
                <w:rFonts w:hint="eastAsia" w:ascii="宋体" w:hAnsi="宋体" w:cs="宋体"/>
                <w:lang w:eastAsia="zh-CN"/>
              </w:rPr>
              <w:t>、</w:t>
            </w:r>
            <w:r>
              <w:rPr>
                <w:rFonts w:hint="eastAsia" w:ascii="宋体" w:hAnsi="宋体" w:cs="宋体"/>
              </w:rPr>
              <w:t xml:space="preserve"> 国产数据库：达梦、人大金仓</w:t>
            </w:r>
          </w:p>
          <w:p w14:paraId="76DC1D57">
            <w:pPr>
              <w:pStyle w:val="9"/>
              <w:keepNext w:val="0"/>
              <w:keepLines w:val="0"/>
              <w:pageBreakBefore w:val="0"/>
              <w:widowControl/>
              <w:numPr>
                <w:ilvl w:val="0"/>
                <w:numId w:val="3"/>
              </w:numPr>
              <w:kinsoku/>
              <w:wordWrap/>
              <w:overflowPunct/>
              <w:topLinePunct w:val="0"/>
              <w:autoSpaceDE/>
              <w:autoSpaceDN/>
              <w:bidi w:val="0"/>
              <w:adjustRightInd/>
              <w:snapToGrid w:val="0"/>
              <w:spacing w:line="240" w:lineRule="auto"/>
              <w:ind w:left="0" w:leftChars="0" w:firstLine="0" w:firstLineChars="0"/>
              <w:jc w:val="left"/>
              <w:textAlignment w:val="auto"/>
              <w:rPr>
                <w:rFonts w:hint="eastAsia" w:ascii="宋体" w:hAnsi="宋体" w:cs="宋体"/>
              </w:rPr>
            </w:pPr>
            <w:r>
              <w:rPr>
                <w:rFonts w:hint="eastAsia" w:ascii="宋体" w:hAnsi="宋体" w:cs="宋体"/>
              </w:rPr>
              <w:t>数据复制与备份特性</w:t>
            </w:r>
          </w:p>
          <w:p w14:paraId="265A05CF">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ind w:leftChars="0"/>
              <w:jc w:val="left"/>
              <w:textAlignment w:val="auto"/>
              <w:rPr>
                <w:rFonts w:hint="eastAsia" w:ascii="宋体" w:hAnsi="宋体" w:cs="宋体"/>
              </w:rPr>
            </w:pPr>
            <w:r>
              <w:rPr>
                <w:rFonts w:hint="eastAsia" w:ascii="宋体" w:hAnsi="宋体" w:cs="宋体"/>
              </w:rPr>
              <w:t>• 字节级复制：只传输改变的数据，降低网络带宽占用，提高传输效率。</w:t>
            </w:r>
          </w:p>
          <w:p w14:paraId="60D0C9BE">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ind w:leftChars="0"/>
              <w:jc w:val="left"/>
              <w:textAlignment w:val="auto"/>
              <w:rPr>
                <w:rFonts w:hint="eastAsia" w:ascii="宋体" w:hAnsi="宋体" w:cs="宋体"/>
              </w:rPr>
            </w:pPr>
            <w:r>
              <w:rPr>
                <w:rFonts w:hint="eastAsia" w:ascii="宋体" w:hAnsi="宋体" w:cs="宋体"/>
              </w:rPr>
              <w:t>• 数据冗余与可靠性： 支持数据复制冗余链路</w:t>
            </w:r>
            <w:r>
              <w:rPr>
                <w:rFonts w:hint="eastAsia" w:ascii="宋体" w:hAnsi="宋体" w:cs="宋体"/>
                <w:lang w:eastAsia="zh-CN"/>
              </w:rPr>
              <w:t>、</w:t>
            </w:r>
            <w:r>
              <w:rPr>
                <w:rFonts w:hint="eastAsia" w:ascii="宋体" w:hAnsi="宋体" w:cs="宋体"/>
              </w:rPr>
              <w:t xml:space="preserve"> 数据实时镜像技术</w:t>
            </w:r>
            <w:r>
              <w:rPr>
                <w:rFonts w:hint="eastAsia" w:ascii="宋体" w:hAnsi="宋体" w:cs="宋体"/>
                <w:lang w:eastAsia="zh-CN"/>
              </w:rPr>
              <w:t>、</w:t>
            </w:r>
            <w:r>
              <w:rPr>
                <w:rFonts w:hint="eastAsia" w:ascii="宋体" w:hAnsi="宋体" w:cs="宋体"/>
              </w:rPr>
              <w:t>备份端数据快照保护和数据恢复保护。</w:t>
            </w:r>
          </w:p>
          <w:p w14:paraId="6E8F5E21">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ind w:leftChars="0"/>
              <w:jc w:val="left"/>
              <w:textAlignment w:val="auto"/>
              <w:rPr>
                <w:rFonts w:hint="eastAsia" w:ascii="宋体" w:hAnsi="宋体" w:cs="宋体"/>
              </w:rPr>
            </w:pPr>
            <w:r>
              <w:rPr>
                <w:rFonts w:hint="eastAsia" w:ascii="宋体" w:hAnsi="宋体" w:cs="宋体"/>
              </w:rPr>
              <w:t>• 数据一致性保障：支持 BCS 校验、差异校验等多种数据一致性校验模式。</w:t>
            </w:r>
          </w:p>
          <w:p w14:paraId="00C74C1C">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ind w:leftChars="0"/>
              <w:jc w:val="left"/>
              <w:textAlignment w:val="auto"/>
              <w:rPr>
                <w:rFonts w:hint="eastAsia" w:ascii="宋体" w:hAnsi="宋体" w:cs="宋体"/>
              </w:rPr>
            </w:pPr>
            <w:r>
              <w:rPr>
                <w:rFonts w:hint="eastAsia" w:ascii="宋体" w:hAnsi="宋体" w:cs="宋体"/>
              </w:rPr>
              <w:t>• 数据安全保护：支持备机数据锁功能，防止第三方修改。 如果在备机上人为恢复业务或更新数据，需执行安全干预操作后才能恢复主备数据同步。</w:t>
            </w:r>
          </w:p>
          <w:p w14:paraId="085D17D2">
            <w:pPr>
              <w:pStyle w:val="9"/>
              <w:keepNext w:val="0"/>
              <w:keepLines w:val="0"/>
              <w:pageBreakBefore w:val="0"/>
              <w:widowControl/>
              <w:numPr>
                <w:ilvl w:val="0"/>
                <w:numId w:val="3"/>
              </w:numPr>
              <w:kinsoku/>
              <w:wordWrap/>
              <w:overflowPunct/>
              <w:topLinePunct w:val="0"/>
              <w:autoSpaceDE/>
              <w:autoSpaceDN/>
              <w:bidi w:val="0"/>
              <w:adjustRightInd/>
              <w:snapToGrid w:val="0"/>
              <w:spacing w:line="240" w:lineRule="auto"/>
              <w:ind w:left="0" w:leftChars="0" w:firstLine="0" w:firstLineChars="0"/>
              <w:jc w:val="left"/>
              <w:textAlignment w:val="auto"/>
              <w:rPr>
                <w:rFonts w:hint="eastAsia" w:ascii="宋体" w:hAnsi="宋体" w:cs="宋体"/>
              </w:rPr>
            </w:pPr>
            <w:r>
              <w:rPr>
                <w:rFonts w:hint="eastAsia" w:ascii="宋体" w:hAnsi="宋体" w:cs="宋体"/>
              </w:rPr>
              <w:t>集群管理与升级</w:t>
            </w:r>
          </w:p>
          <w:p w14:paraId="367F1D7A">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ind w:leftChars="0"/>
              <w:jc w:val="left"/>
              <w:textAlignment w:val="auto"/>
              <w:rPr>
                <w:rFonts w:hint="eastAsia" w:ascii="宋体" w:hAnsi="宋体" w:cs="宋体"/>
              </w:rPr>
            </w:pPr>
            <w:r>
              <w:rPr>
                <w:rFonts w:hint="eastAsia" w:ascii="宋体" w:hAnsi="宋体" w:cs="宋体"/>
              </w:rPr>
              <w:t>• 双机集群纯软解决方案：无需额外硬件支持。</w:t>
            </w:r>
          </w:p>
          <w:p w14:paraId="483BF74D">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ind w:leftChars="0"/>
              <w:jc w:val="left"/>
              <w:textAlignment w:val="auto"/>
              <w:rPr>
                <w:rFonts w:hint="eastAsia" w:ascii="宋体" w:hAnsi="宋体" w:cs="宋体"/>
              </w:rPr>
            </w:pPr>
            <w:r>
              <w:rPr>
                <w:rFonts w:hint="eastAsia" w:ascii="宋体" w:hAnsi="宋体" w:cs="宋体"/>
              </w:rPr>
              <w:t>• 在线升级：支持在不影响应用资源运行的情况下，对集群软件进行在线升级。</w:t>
            </w:r>
          </w:p>
          <w:p w14:paraId="3E833663">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ind w:leftChars="0"/>
              <w:jc w:val="left"/>
              <w:textAlignment w:val="auto"/>
              <w:rPr>
                <w:rFonts w:hint="eastAsia" w:ascii="宋体" w:hAnsi="宋体" w:cs="宋体"/>
              </w:rPr>
            </w:pPr>
            <w:r>
              <w:rPr>
                <w:rFonts w:hint="eastAsia" w:ascii="宋体" w:hAnsi="宋体" w:cs="宋体"/>
              </w:rPr>
              <w:t>• 集中管理： 支持集中获取主机 ID 进行授权</w:t>
            </w:r>
            <w:r>
              <w:rPr>
                <w:rFonts w:hint="eastAsia" w:ascii="宋体" w:hAnsi="宋体" w:cs="宋体"/>
                <w:lang w:eastAsia="zh-CN"/>
              </w:rPr>
              <w:t>；</w:t>
            </w:r>
            <w:r>
              <w:rPr>
                <w:rFonts w:hint="eastAsia" w:ascii="宋体" w:hAnsi="宋体" w:cs="宋体"/>
              </w:rPr>
              <w:t xml:space="preserve"> 支持一键分离集群保护。</w:t>
            </w:r>
          </w:p>
          <w:p w14:paraId="47FEBB7D">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ind w:leftChars="0"/>
              <w:jc w:val="left"/>
              <w:textAlignment w:val="auto"/>
              <w:rPr>
                <w:rFonts w:hint="eastAsia" w:ascii="宋体" w:hAnsi="宋体" w:cs="宋体"/>
              </w:rPr>
            </w:pPr>
            <w:r>
              <w:rPr>
                <w:rFonts w:hint="eastAsia" w:ascii="宋体" w:hAnsi="宋体" w:cs="宋体"/>
              </w:rPr>
              <w:t>• 配置管理： 支持通过配置文件备份和恢复功能</w:t>
            </w:r>
            <w:r>
              <w:rPr>
                <w:rFonts w:hint="eastAsia" w:ascii="宋体" w:hAnsi="宋体" w:cs="宋体"/>
                <w:lang w:eastAsia="zh-CN"/>
              </w:rPr>
              <w:t>；</w:t>
            </w:r>
            <w:r>
              <w:rPr>
                <w:rFonts w:hint="eastAsia" w:ascii="宋体" w:hAnsi="宋体" w:cs="宋体"/>
              </w:rPr>
              <w:t>支持命令行管理。</w:t>
            </w:r>
          </w:p>
          <w:p w14:paraId="47A10940">
            <w:pPr>
              <w:pStyle w:val="9"/>
              <w:keepNext w:val="0"/>
              <w:keepLines w:val="0"/>
              <w:pageBreakBefore w:val="0"/>
              <w:widowControl/>
              <w:numPr>
                <w:ilvl w:val="0"/>
                <w:numId w:val="3"/>
              </w:numPr>
              <w:kinsoku/>
              <w:wordWrap/>
              <w:overflowPunct/>
              <w:topLinePunct w:val="0"/>
              <w:autoSpaceDE/>
              <w:autoSpaceDN/>
              <w:bidi w:val="0"/>
              <w:adjustRightInd/>
              <w:snapToGrid w:val="0"/>
              <w:spacing w:line="240" w:lineRule="auto"/>
              <w:ind w:left="0" w:leftChars="0" w:firstLine="0" w:firstLineChars="0"/>
              <w:jc w:val="left"/>
              <w:textAlignment w:val="auto"/>
              <w:rPr>
                <w:rFonts w:hint="eastAsia" w:ascii="宋体" w:hAnsi="宋体" w:cs="宋体"/>
              </w:rPr>
            </w:pPr>
            <w:r>
              <w:rPr>
                <w:rFonts w:hint="eastAsia" w:ascii="宋体" w:hAnsi="宋体" w:cs="宋体"/>
              </w:rPr>
              <w:t>告警与日志</w:t>
            </w:r>
          </w:p>
          <w:p w14:paraId="3D322915">
            <w:pPr>
              <w:pStyle w:val="9"/>
              <w:keepNext w:val="0"/>
              <w:keepLines w:val="0"/>
              <w:pageBreakBefore w:val="0"/>
              <w:widowControl/>
              <w:numPr>
                <w:ilvl w:val="0"/>
                <w:numId w:val="0"/>
              </w:numPr>
              <w:kinsoku/>
              <w:wordWrap/>
              <w:overflowPunct/>
              <w:topLinePunct w:val="0"/>
              <w:autoSpaceDE/>
              <w:autoSpaceDN/>
              <w:bidi w:val="0"/>
              <w:adjustRightInd/>
              <w:snapToGrid w:val="0"/>
              <w:spacing w:line="240" w:lineRule="auto"/>
              <w:ind w:leftChars="0"/>
              <w:jc w:val="left"/>
              <w:textAlignment w:val="auto"/>
              <w:rPr>
                <w:rFonts w:hint="eastAsia" w:ascii="宋体" w:hAnsi="宋体" w:cs="宋体"/>
              </w:rPr>
            </w:pPr>
            <w:r>
              <w:rPr>
                <w:rFonts w:hint="eastAsia" w:ascii="宋体" w:hAnsi="宋体" w:cs="宋体"/>
              </w:rPr>
              <w:t>• 支持多种告警方式： 在线日志</w:t>
            </w:r>
            <w:r>
              <w:rPr>
                <w:rFonts w:hint="eastAsia" w:ascii="宋体" w:hAnsi="宋体" w:cs="宋体"/>
                <w:lang w:eastAsia="zh-CN"/>
              </w:rPr>
              <w:t>、</w:t>
            </w:r>
            <w:r>
              <w:rPr>
                <w:rFonts w:hint="eastAsia" w:ascii="宋体" w:hAnsi="宋体" w:cs="宋体"/>
              </w:rPr>
              <w:t>邮件告警</w:t>
            </w:r>
            <w:r>
              <w:rPr>
                <w:rFonts w:hint="eastAsia" w:ascii="宋体" w:hAnsi="宋体" w:cs="宋体"/>
                <w:lang w:eastAsia="zh-CN"/>
              </w:rPr>
              <w:t>、</w:t>
            </w:r>
            <w:r>
              <w:rPr>
                <w:rFonts w:hint="eastAsia" w:ascii="宋体" w:hAnsi="宋体" w:cs="宋体"/>
              </w:rPr>
              <w:t>SNMP 告警</w:t>
            </w:r>
            <w:r>
              <w:rPr>
                <w:rFonts w:hint="eastAsia" w:ascii="宋体" w:hAnsi="宋体" w:cs="宋体"/>
                <w:lang w:eastAsia="zh-CN"/>
              </w:rPr>
              <w:t>、</w:t>
            </w:r>
            <w:r>
              <w:rPr>
                <w:rFonts w:hint="eastAsia" w:ascii="宋体" w:hAnsi="宋体" w:cs="宋体"/>
              </w:rPr>
              <w:t>手机短信告警。</w:t>
            </w:r>
          </w:p>
          <w:p w14:paraId="631A3172">
            <w:pPr>
              <w:pStyle w:val="9"/>
              <w:keepNext w:val="0"/>
              <w:keepLines w:val="0"/>
              <w:pageBreakBefore w:val="0"/>
              <w:widowControl/>
              <w:numPr>
                <w:ilvl w:val="0"/>
                <w:numId w:val="3"/>
              </w:numPr>
              <w:kinsoku/>
              <w:wordWrap/>
              <w:overflowPunct/>
              <w:topLinePunct w:val="0"/>
              <w:autoSpaceDE/>
              <w:autoSpaceDN/>
              <w:bidi w:val="0"/>
              <w:adjustRightInd/>
              <w:snapToGrid w:val="0"/>
              <w:spacing w:line="240" w:lineRule="auto"/>
              <w:ind w:left="0" w:leftChars="0" w:firstLine="0" w:firstLineChars="0"/>
              <w:jc w:val="left"/>
              <w:textAlignment w:val="auto"/>
              <w:rPr>
                <w:rFonts w:hint="eastAsia" w:ascii="宋体" w:hAnsi="宋体" w:cs="宋体"/>
              </w:rPr>
            </w:pPr>
            <w:r>
              <w:rPr>
                <w:rFonts w:hint="eastAsia" w:ascii="宋体" w:hAnsi="宋体" w:cs="宋体"/>
              </w:rPr>
              <w:t>兼容性：支持 Windows 版本微软 MiniFilter 驱动接口，兼容杀毒、备份、加密等软件。</w:t>
            </w:r>
          </w:p>
          <w:p w14:paraId="68E704DF">
            <w:pPr>
              <w:pStyle w:val="9"/>
              <w:keepNext w:val="0"/>
              <w:keepLines w:val="0"/>
              <w:pageBreakBefore w:val="0"/>
              <w:widowControl/>
              <w:numPr>
                <w:ilvl w:val="0"/>
                <w:numId w:val="3"/>
              </w:numPr>
              <w:kinsoku/>
              <w:wordWrap/>
              <w:overflowPunct/>
              <w:topLinePunct w:val="0"/>
              <w:autoSpaceDE/>
              <w:autoSpaceDN/>
              <w:bidi w:val="0"/>
              <w:adjustRightInd/>
              <w:snapToGrid w:val="0"/>
              <w:spacing w:line="240" w:lineRule="auto"/>
              <w:ind w:left="0" w:leftChars="0" w:firstLine="0" w:firstLineChars="0"/>
              <w:jc w:val="left"/>
              <w:textAlignment w:val="auto"/>
              <w:rPr>
                <w:rFonts w:hint="eastAsia" w:ascii="宋体" w:hAnsi="宋体" w:eastAsia="宋体" w:cs="宋体"/>
                <w:sz w:val="21"/>
                <w:szCs w:val="21"/>
              </w:rPr>
            </w:pPr>
            <w:r>
              <w:rPr>
                <w:rFonts w:hint="eastAsia" w:ascii="宋体" w:hAnsi="宋体" w:cs="宋体"/>
              </w:rPr>
              <w:t>部署与维护： 无需域环境，配置安装维护简单</w:t>
            </w:r>
            <w:r>
              <w:rPr>
                <w:rFonts w:hint="eastAsia" w:ascii="宋体" w:hAnsi="宋体" w:cs="宋体"/>
                <w:lang w:eastAsia="zh-CN"/>
              </w:rPr>
              <w:t>、</w:t>
            </w:r>
            <w:r>
              <w:rPr>
                <w:rFonts w:hint="eastAsia" w:ascii="宋体" w:hAnsi="宋体" w:cs="宋体"/>
              </w:rPr>
              <w:t xml:space="preserve"> 提供明晰的配置向导，方便用户快速完成软件配置。容灾备份扩展：可新增第三台主机作为备份节点，无缝升级到容灾备份方案。</w:t>
            </w:r>
          </w:p>
        </w:tc>
        <w:tc>
          <w:tcPr>
            <w:tcW w:w="451" w:type="pct"/>
            <w:noWrap w:val="0"/>
            <w:vAlign w:val="center"/>
          </w:tcPr>
          <w:p w14:paraId="47316694">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451" w:type="pct"/>
            <w:noWrap w:val="0"/>
            <w:vAlign w:val="center"/>
          </w:tcPr>
          <w:p w14:paraId="56B3E398">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513" w:type="pct"/>
            <w:noWrap w:val="0"/>
            <w:vAlign w:val="center"/>
          </w:tcPr>
          <w:p w14:paraId="062543B3">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r>
      <w:tr w14:paraId="7355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257" w:type="pct"/>
            <w:noWrap w:val="0"/>
            <w:vAlign w:val="center"/>
          </w:tcPr>
          <w:p w14:paraId="04DE10E4">
            <w:pPr>
              <w:keepNext w:val="0"/>
              <w:keepLines w:val="0"/>
              <w:pageBreakBefore w:val="0"/>
              <w:numPr>
                <w:ilvl w:val="0"/>
                <w:numId w:val="2"/>
              </w:numPr>
              <w:kinsoku/>
              <w:wordWrap/>
              <w:overflowPunct/>
              <w:topLinePunct w:val="0"/>
              <w:autoSpaceDE/>
              <w:autoSpaceDN/>
              <w:bidi w:val="0"/>
              <w:adjustRightInd/>
              <w:snapToGrid w:val="0"/>
              <w:spacing w:line="240" w:lineRule="auto"/>
              <w:ind w:left="425" w:leftChars="0" w:hanging="425" w:firstLineChars="0"/>
              <w:jc w:val="center"/>
              <w:textAlignment w:val="auto"/>
              <w:rPr>
                <w:rFonts w:hint="eastAsia" w:ascii="宋体" w:hAnsi="宋体" w:eastAsia="宋体" w:cs="宋体"/>
                <w:sz w:val="21"/>
                <w:szCs w:val="21"/>
              </w:rPr>
            </w:pPr>
          </w:p>
        </w:tc>
        <w:tc>
          <w:tcPr>
            <w:tcW w:w="625" w:type="pct"/>
            <w:noWrap w:val="0"/>
            <w:vAlign w:val="center"/>
          </w:tcPr>
          <w:p w14:paraId="1A7F351E">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笔记本电脑</w:t>
            </w:r>
          </w:p>
        </w:tc>
        <w:tc>
          <w:tcPr>
            <w:tcW w:w="275" w:type="pct"/>
            <w:noWrap w:val="0"/>
            <w:vAlign w:val="center"/>
          </w:tcPr>
          <w:p w14:paraId="56C8959A">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台</w:t>
            </w:r>
          </w:p>
        </w:tc>
        <w:tc>
          <w:tcPr>
            <w:tcW w:w="266" w:type="pct"/>
            <w:noWrap w:val="0"/>
            <w:vAlign w:val="center"/>
          </w:tcPr>
          <w:p w14:paraId="734294C6">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p>
        </w:tc>
        <w:tc>
          <w:tcPr>
            <w:tcW w:w="2159" w:type="pct"/>
            <w:noWrap w:val="0"/>
            <w:vAlign w:val="center"/>
          </w:tcPr>
          <w:p w14:paraId="6E4C3543">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CPU 型号:麒麟 990 内存：16GB 硬盘：512GB 固 态硬盘 尺寸：14 英寸 2160*1440</w:t>
            </w:r>
            <w:r>
              <w:rPr>
                <w:rFonts w:hint="eastAsia" w:ascii="宋体" w:hAnsi="宋体" w:eastAsia="宋体" w:cs="宋体"/>
                <w:color w:val="auto"/>
                <w:kern w:val="0"/>
                <w:sz w:val="21"/>
                <w:szCs w:val="21"/>
                <w:highlight w:val="none"/>
                <w:lang w:val="zh-CN" w:eastAsia="zh-CN"/>
              </w:rPr>
              <w:t>，</w:t>
            </w:r>
            <w:r>
              <w:rPr>
                <w:rFonts w:hint="eastAsia" w:ascii="宋体" w:hAnsi="宋体" w:eastAsia="宋体" w:cs="宋体"/>
                <w:color w:val="auto"/>
                <w:kern w:val="0"/>
                <w:sz w:val="21"/>
                <w:szCs w:val="21"/>
                <w:highlight w:val="none"/>
                <w:lang w:val="zh-CN"/>
              </w:rPr>
              <w:t>操作系统：统 信 UOS 专业版 V20 永久授权激 活</w:t>
            </w:r>
          </w:p>
        </w:tc>
        <w:tc>
          <w:tcPr>
            <w:tcW w:w="451" w:type="pct"/>
            <w:noWrap w:val="0"/>
            <w:vAlign w:val="center"/>
          </w:tcPr>
          <w:p w14:paraId="73A00436">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451" w:type="pct"/>
            <w:noWrap w:val="0"/>
            <w:vAlign w:val="center"/>
          </w:tcPr>
          <w:p w14:paraId="7D4582E8">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513" w:type="pct"/>
            <w:noWrap w:val="0"/>
            <w:vAlign w:val="center"/>
          </w:tcPr>
          <w:p w14:paraId="0DF62CA3">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r>
      <w:tr w14:paraId="66CC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257" w:type="pct"/>
            <w:noWrap w:val="0"/>
            <w:vAlign w:val="center"/>
          </w:tcPr>
          <w:p w14:paraId="4AF87847">
            <w:pPr>
              <w:keepNext w:val="0"/>
              <w:keepLines w:val="0"/>
              <w:pageBreakBefore w:val="0"/>
              <w:numPr>
                <w:ilvl w:val="0"/>
                <w:numId w:val="2"/>
              </w:numPr>
              <w:kinsoku/>
              <w:wordWrap/>
              <w:overflowPunct/>
              <w:topLinePunct w:val="0"/>
              <w:autoSpaceDE/>
              <w:autoSpaceDN/>
              <w:bidi w:val="0"/>
              <w:adjustRightInd/>
              <w:snapToGrid w:val="0"/>
              <w:spacing w:line="240" w:lineRule="auto"/>
              <w:ind w:left="425" w:leftChars="0" w:hanging="425" w:firstLineChars="0"/>
              <w:jc w:val="center"/>
              <w:textAlignment w:val="auto"/>
              <w:rPr>
                <w:rFonts w:hint="eastAsia" w:ascii="宋体" w:hAnsi="宋体" w:eastAsia="宋体" w:cs="宋体"/>
                <w:sz w:val="21"/>
                <w:szCs w:val="21"/>
              </w:rPr>
            </w:pPr>
          </w:p>
        </w:tc>
        <w:tc>
          <w:tcPr>
            <w:tcW w:w="625" w:type="pct"/>
            <w:noWrap w:val="0"/>
            <w:vAlign w:val="center"/>
          </w:tcPr>
          <w:p w14:paraId="133D8587">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移动巡检手机</w:t>
            </w:r>
          </w:p>
        </w:tc>
        <w:tc>
          <w:tcPr>
            <w:tcW w:w="275" w:type="pct"/>
            <w:noWrap w:val="0"/>
            <w:vAlign w:val="center"/>
          </w:tcPr>
          <w:p w14:paraId="57A82BE4">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部</w:t>
            </w:r>
          </w:p>
        </w:tc>
        <w:tc>
          <w:tcPr>
            <w:tcW w:w="266" w:type="pct"/>
            <w:noWrap w:val="0"/>
            <w:vAlign w:val="center"/>
          </w:tcPr>
          <w:p w14:paraId="52B97A1F">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6</w:t>
            </w:r>
          </w:p>
        </w:tc>
        <w:tc>
          <w:tcPr>
            <w:tcW w:w="2159" w:type="pct"/>
            <w:noWrap w:val="0"/>
            <w:vAlign w:val="center"/>
          </w:tcPr>
          <w:p w14:paraId="42532B10">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8GB 机身存储、 128GB 存储卡、 带摄像头和 NFC 功能</w:t>
            </w:r>
          </w:p>
        </w:tc>
        <w:tc>
          <w:tcPr>
            <w:tcW w:w="451" w:type="pct"/>
            <w:noWrap w:val="0"/>
            <w:vAlign w:val="center"/>
          </w:tcPr>
          <w:p w14:paraId="07DEE5D7">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451" w:type="pct"/>
            <w:noWrap w:val="0"/>
            <w:vAlign w:val="center"/>
          </w:tcPr>
          <w:p w14:paraId="13B8A426">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513" w:type="pct"/>
            <w:noWrap w:val="0"/>
            <w:vAlign w:val="center"/>
          </w:tcPr>
          <w:p w14:paraId="3D8ABB2C">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r>
      <w:tr w14:paraId="1221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257" w:type="pct"/>
            <w:noWrap w:val="0"/>
            <w:vAlign w:val="center"/>
          </w:tcPr>
          <w:p w14:paraId="0AF4C76F">
            <w:pPr>
              <w:keepNext w:val="0"/>
              <w:keepLines w:val="0"/>
              <w:pageBreakBefore w:val="0"/>
              <w:numPr>
                <w:ilvl w:val="0"/>
                <w:numId w:val="2"/>
              </w:numPr>
              <w:kinsoku/>
              <w:wordWrap/>
              <w:overflowPunct/>
              <w:topLinePunct w:val="0"/>
              <w:autoSpaceDE/>
              <w:autoSpaceDN/>
              <w:bidi w:val="0"/>
              <w:adjustRightInd/>
              <w:snapToGrid w:val="0"/>
              <w:spacing w:line="240" w:lineRule="auto"/>
              <w:ind w:left="425" w:leftChars="0" w:hanging="425" w:firstLineChars="0"/>
              <w:jc w:val="center"/>
              <w:textAlignment w:val="auto"/>
              <w:rPr>
                <w:rFonts w:hint="eastAsia" w:ascii="宋体" w:hAnsi="宋体" w:eastAsia="宋体" w:cs="宋体"/>
                <w:sz w:val="21"/>
                <w:szCs w:val="21"/>
              </w:rPr>
            </w:pPr>
          </w:p>
        </w:tc>
        <w:tc>
          <w:tcPr>
            <w:tcW w:w="625" w:type="pct"/>
            <w:noWrap w:val="0"/>
            <w:vAlign w:val="center"/>
          </w:tcPr>
          <w:p w14:paraId="2B70FEDB">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b w:val="0"/>
                <w:bCs w:val="0"/>
                <w:color w:val="000000"/>
                <w:sz w:val="21"/>
                <w:szCs w:val="21"/>
              </w:rPr>
              <w:t>技术服务费</w:t>
            </w:r>
          </w:p>
        </w:tc>
        <w:tc>
          <w:tcPr>
            <w:tcW w:w="275" w:type="pct"/>
            <w:noWrap w:val="0"/>
            <w:vAlign w:val="center"/>
          </w:tcPr>
          <w:p w14:paraId="4676600F">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项</w:t>
            </w:r>
          </w:p>
        </w:tc>
        <w:tc>
          <w:tcPr>
            <w:tcW w:w="266" w:type="pct"/>
            <w:noWrap w:val="0"/>
            <w:vAlign w:val="center"/>
          </w:tcPr>
          <w:p w14:paraId="2D494156">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2159" w:type="pct"/>
            <w:noWrap w:val="0"/>
            <w:vAlign w:val="center"/>
          </w:tcPr>
          <w:p w14:paraId="452E6DF2">
            <w:pPr>
              <w:keepNext w:val="0"/>
              <w:keepLines w:val="0"/>
              <w:pageBreakBefore w:val="0"/>
              <w:widowControl/>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包括设备</w:t>
            </w:r>
            <w:r>
              <w:rPr>
                <w:rFonts w:hint="eastAsia" w:ascii="宋体" w:hAnsi="宋体" w:eastAsia="宋体" w:cs="宋体"/>
                <w:color w:val="auto"/>
                <w:kern w:val="0"/>
                <w:sz w:val="21"/>
                <w:szCs w:val="21"/>
                <w:highlight w:val="none"/>
                <w:lang w:val="zh-CN"/>
              </w:rPr>
              <w:t>运输、服务器上架、安装调试、网络综合布线、配电改造等</w:t>
            </w:r>
            <w:r>
              <w:rPr>
                <w:rFonts w:hint="eastAsia" w:ascii="宋体" w:hAnsi="宋体" w:eastAsia="宋体" w:cs="宋体"/>
                <w:color w:val="auto"/>
                <w:kern w:val="0"/>
                <w:sz w:val="21"/>
                <w:szCs w:val="21"/>
                <w:highlight w:val="none"/>
                <w:lang w:val="zh-CN" w:eastAsia="zh-CN"/>
              </w:rPr>
              <w:t>。</w:t>
            </w:r>
          </w:p>
        </w:tc>
        <w:tc>
          <w:tcPr>
            <w:tcW w:w="451" w:type="pct"/>
            <w:noWrap w:val="0"/>
            <w:vAlign w:val="center"/>
          </w:tcPr>
          <w:p w14:paraId="3394673A">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451" w:type="pct"/>
            <w:noWrap w:val="0"/>
            <w:vAlign w:val="center"/>
          </w:tcPr>
          <w:p w14:paraId="4520C80A">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c>
          <w:tcPr>
            <w:tcW w:w="513" w:type="pct"/>
            <w:noWrap w:val="0"/>
            <w:vAlign w:val="center"/>
          </w:tcPr>
          <w:p w14:paraId="657FB9C1">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r>
      <w:tr w14:paraId="38D2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4486" w:type="pct"/>
            <w:gridSpan w:val="7"/>
            <w:noWrap w:val="0"/>
            <w:vAlign w:val="center"/>
          </w:tcPr>
          <w:p w14:paraId="75DA85CA">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合计（含税价）</w:t>
            </w:r>
          </w:p>
        </w:tc>
        <w:tc>
          <w:tcPr>
            <w:tcW w:w="513" w:type="pct"/>
            <w:noWrap w:val="0"/>
            <w:vAlign w:val="center"/>
          </w:tcPr>
          <w:p w14:paraId="6325A4AA">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sz w:val="21"/>
                <w:szCs w:val="21"/>
              </w:rPr>
            </w:pPr>
          </w:p>
        </w:tc>
      </w:tr>
      <w:tr w14:paraId="7269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5000" w:type="pct"/>
            <w:gridSpan w:val="8"/>
            <w:noWrap w:val="0"/>
            <w:vAlign w:val="center"/>
          </w:tcPr>
          <w:p w14:paraId="31173F0C">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注：第1-6项税率13%，第7项税率6%。</w:t>
            </w:r>
          </w:p>
        </w:tc>
      </w:tr>
    </w:tbl>
    <w:p w14:paraId="5602015D">
      <w:pPr>
        <w:jc w:val="center"/>
        <w:rPr>
          <w:rFonts w:hint="eastAsia" w:ascii="宋体" w:hAnsi="宋体" w:eastAsia="宋体" w:cs="宋体"/>
          <w:sz w:val="32"/>
          <w:szCs w:val="4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292E47"/>
    <w:multiLevelType w:val="singleLevel"/>
    <w:tmpl w:val="97292E47"/>
    <w:lvl w:ilvl="0" w:tentative="0">
      <w:start w:val="1"/>
      <w:numFmt w:val="decimal"/>
      <w:lvlText w:val="%1."/>
      <w:lvlJc w:val="left"/>
      <w:pPr>
        <w:ind w:left="425" w:hanging="425"/>
      </w:pPr>
      <w:rPr>
        <w:rFonts w:hint="default"/>
      </w:rPr>
    </w:lvl>
  </w:abstractNum>
  <w:abstractNum w:abstractNumId="1">
    <w:nsid w:val="C13FF425"/>
    <w:multiLevelType w:val="singleLevel"/>
    <w:tmpl w:val="C13FF425"/>
    <w:lvl w:ilvl="0" w:tentative="0">
      <w:start w:val="1"/>
      <w:numFmt w:val="decimal"/>
      <w:lvlText w:val="%1."/>
      <w:lvlJc w:val="left"/>
      <w:pPr>
        <w:ind w:left="425" w:hanging="425"/>
      </w:pPr>
      <w:rPr>
        <w:rFonts w:hint="default"/>
      </w:rPr>
    </w:lvl>
  </w:abstractNum>
  <w:abstractNum w:abstractNumId="2">
    <w:nsid w:val="32D76FF8"/>
    <w:multiLevelType w:val="singleLevel"/>
    <w:tmpl w:val="32D76FF8"/>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A151D7"/>
    <w:rsid w:val="029B2E44"/>
    <w:rsid w:val="03BB263B"/>
    <w:rsid w:val="04F70D36"/>
    <w:rsid w:val="057A2411"/>
    <w:rsid w:val="07941525"/>
    <w:rsid w:val="096A3488"/>
    <w:rsid w:val="0A1628DE"/>
    <w:rsid w:val="0BD26C84"/>
    <w:rsid w:val="12913EAB"/>
    <w:rsid w:val="12FA4D83"/>
    <w:rsid w:val="154F4DA4"/>
    <w:rsid w:val="1E4E20A0"/>
    <w:rsid w:val="216E3A67"/>
    <w:rsid w:val="24913262"/>
    <w:rsid w:val="24DE559C"/>
    <w:rsid w:val="2B400DBB"/>
    <w:rsid w:val="2D9072BA"/>
    <w:rsid w:val="34AD5C03"/>
    <w:rsid w:val="358A02D1"/>
    <w:rsid w:val="3B181276"/>
    <w:rsid w:val="3B1B4A8F"/>
    <w:rsid w:val="3FEF45F1"/>
    <w:rsid w:val="46CA71C7"/>
    <w:rsid w:val="479B4749"/>
    <w:rsid w:val="4A2668B9"/>
    <w:rsid w:val="502323C4"/>
    <w:rsid w:val="50E91144"/>
    <w:rsid w:val="51385B5E"/>
    <w:rsid w:val="51AA0DE3"/>
    <w:rsid w:val="523837AF"/>
    <w:rsid w:val="56091A90"/>
    <w:rsid w:val="59A151D7"/>
    <w:rsid w:val="5A45375C"/>
    <w:rsid w:val="60DF00EB"/>
    <w:rsid w:val="61582135"/>
    <w:rsid w:val="640B2F08"/>
    <w:rsid w:val="644F0497"/>
    <w:rsid w:val="663F6D3C"/>
    <w:rsid w:val="68085304"/>
    <w:rsid w:val="69E60DC4"/>
    <w:rsid w:val="6BFA6E98"/>
    <w:rsid w:val="6E755215"/>
    <w:rsid w:val="6F6C776E"/>
    <w:rsid w:val="714275DF"/>
    <w:rsid w:val="7610256F"/>
    <w:rsid w:val="7AB155AD"/>
    <w:rsid w:val="7B9F287A"/>
    <w:rsid w:val="7C595B5C"/>
    <w:rsid w:val="7CDC054A"/>
    <w:rsid w:val="7D644449"/>
    <w:rsid w:val="7D7F0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next w:val="1"/>
    <w:unhideWhenUsed/>
    <w:qFormat/>
    <w:uiPriority w:val="99"/>
    <w:pPr>
      <w:widowControl w:val="0"/>
      <w:spacing w:before="100" w:beforeAutospacing="1" w:after="120"/>
      <w:jc w:val="both"/>
    </w:pPr>
    <w:rPr>
      <w:rFonts w:ascii="Times New Roman" w:hAnsi="Times New Roman" w:eastAsia="宋体" w:cs="Times New Roman"/>
      <w:kern w:val="2"/>
      <w:sz w:val="21"/>
      <w:szCs w:val="24"/>
      <w:lang w:val="en-US" w:eastAsia="zh-CN" w:bidi="ar-SA"/>
    </w:rPr>
  </w:style>
  <w:style w:type="paragraph" w:styleId="3">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character" w:styleId="6">
    <w:name w:val="Hyperlink"/>
    <w:basedOn w:val="5"/>
    <w:qFormat/>
    <w:uiPriority w:val="0"/>
    <w:rPr>
      <w:color w:val="0000FF"/>
      <w:u w:val="single"/>
    </w:rPr>
  </w:style>
  <w:style w:type="character" w:customStyle="1" w:styleId="7">
    <w:name w:val="font31"/>
    <w:basedOn w:val="5"/>
    <w:qFormat/>
    <w:uiPriority w:val="0"/>
    <w:rPr>
      <w:rFonts w:hint="default" w:ascii="Times New Roman" w:hAnsi="Times New Roman" w:cs="Times New Roman"/>
      <w:color w:val="000000"/>
      <w:sz w:val="24"/>
      <w:szCs w:val="24"/>
      <w:u w:val="none"/>
    </w:rPr>
  </w:style>
  <w:style w:type="character" w:customStyle="1" w:styleId="8">
    <w:name w:val="font21"/>
    <w:basedOn w:val="5"/>
    <w:qFormat/>
    <w:uiPriority w:val="0"/>
    <w:rPr>
      <w:rFonts w:hint="eastAsia" w:ascii="宋体" w:hAnsi="宋体" w:eastAsia="宋体" w:cs="宋体"/>
      <w:color w:val="000000"/>
      <w:sz w:val="24"/>
      <w:szCs w:val="24"/>
      <w:u w:val="none"/>
    </w:rPr>
  </w:style>
  <w:style w:type="paragraph" w:customStyle="1" w:styleId="9">
    <w:name w:val="正文_0"/>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10">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1426</Words>
  <Characters>1779</Characters>
  <Lines>0</Lines>
  <Paragraphs>0</Paragraphs>
  <TotalTime>324</TotalTime>
  <ScaleCrop>false</ScaleCrop>
  <LinksUpToDate>false</LinksUpToDate>
  <CharactersWithSpaces>1876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2025-03-13T08:02:00Z</dcterms:created>
  <dc:creator>admin</dc:creator>
  <cp:lastModifiedBy>admin</cp:lastModifiedBy>
  <dcterms:modified xsi:type="dcterms:W3CDTF">2025-04-02T09:23:22Z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A03B64C5DA57473492AC16A128B7D38B_13</vt:lpwstr>
  </property>
  <property fmtid="{D5CDD505-2E9C-101B-9397-08002B2CF9AE}" pid="4" name="KSOTemplateDocerSaveRecord">
    <vt:lpwstr>eyJoZGlkIjoiZDQ3OTY3NjMzNDgwMmE3Y2FkMWI4ODRhYTE4ZWNlZDAiLCJ1c2VySWQiOiI5Nzk5OTMwMDgifQ==</vt:lpwstr>
  </property>
</Properties>
</file>